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1F3" w:rsidRPr="006A113D" w:rsidRDefault="00BA01F3" w:rsidP="00BA01F3">
      <w:pPr>
        <w:jc w:val="right"/>
        <w:rPr>
          <w:rFonts w:ascii="Arial" w:hAnsi="Arial" w:cs="Arial"/>
          <w:b/>
        </w:rPr>
      </w:pPr>
      <w:r w:rsidRPr="006A113D">
        <w:rPr>
          <w:rFonts w:ascii="Arial" w:hAnsi="Arial" w:cs="Arial"/>
          <w:b/>
        </w:rPr>
        <w:t>DIMENSIÓN: PARTICIPACIÓN JUVENIL</w:t>
      </w:r>
    </w:p>
    <w:p w:rsidR="00BE2D3E" w:rsidRPr="006A113D" w:rsidRDefault="00BE2D3E" w:rsidP="00BE2D3E">
      <w:pPr>
        <w:rPr>
          <w:rFonts w:ascii="Arial" w:hAnsi="Arial" w:cs="Arial"/>
          <w:b/>
        </w:rPr>
      </w:pPr>
      <w:r w:rsidRPr="006A113D">
        <w:rPr>
          <w:rFonts w:ascii="Arial" w:hAnsi="Arial" w:cs="Arial"/>
          <w:b/>
        </w:rPr>
        <w:t>TEMA: MI CUERPO</w:t>
      </w:r>
    </w:p>
    <w:p w:rsidR="00BE2D3E" w:rsidRPr="006A113D" w:rsidRDefault="00BE2D3E" w:rsidP="00BE2D3E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6992"/>
      </w:tblGrid>
      <w:tr w:rsidR="00BE2D3E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3E" w:rsidRPr="006A113D" w:rsidRDefault="00BE2D3E" w:rsidP="00950F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noProof/>
                <w:lang w:val="es-SV" w:eastAsia="es-SV"/>
              </w:rPr>
              <w:drawing>
                <wp:inline distT="0" distB="0" distL="0" distR="0">
                  <wp:extent cx="808355" cy="701675"/>
                  <wp:effectExtent l="19050" t="0" r="0" b="0"/>
                  <wp:docPr id="231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355" cy="70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E" w:rsidRPr="006A113D" w:rsidRDefault="00BE2D3E" w:rsidP="00950F94">
            <w:pPr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</w:rPr>
              <w:t xml:space="preserve">TÍTULO: </w:t>
            </w:r>
            <w:r w:rsidRPr="006A113D">
              <w:rPr>
                <w:rFonts w:ascii="Arial" w:hAnsi="Arial" w:cs="Arial"/>
                <w:b/>
                <w:color w:val="1A171B"/>
              </w:rPr>
              <w:t xml:space="preserve">MURAL SOBRE EL DERECHO A </w:t>
            </w:r>
            <w:smartTag w:uri="urn:schemas-microsoft-com:office:smarttags" w:element="PersonName">
              <w:smartTagPr>
                <w:attr w:name="ProductID" w:val="LA SALUD DE"/>
              </w:smartTagPr>
              <w:r w:rsidRPr="006A113D">
                <w:rPr>
                  <w:rFonts w:ascii="Arial" w:hAnsi="Arial" w:cs="Arial"/>
                  <w:b/>
                  <w:color w:val="1A171B"/>
                </w:rPr>
                <w:t>LA SALUD DE</w:t>
              </w:r>
            </w:smartTag>
            <w:r w:rsidRPr="006A113D">
              <w:rPr>
                <w:rFonts w:ascii="Arial" w:hAnsi="Arial" w:cs="Arial"/>
                <w:b/>
                <w:color w:val="1A171B"/>
              </w:rPr>
              <w:t xml:space="preserve"> LAS Y LOS JÓVENES</w:t>
            </w:r>
          </w:p>
          <w:p w:rsidR="00BE2D3E" w:rsidRPr="006A113D" w:rsidRDefault="00BE2D3E" w:rsidP="00950F94">
            <w:pPr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b/>
              </w:rPr>
              <w:t xml:space="preserve">UBICACIÓN: </w:t>
            </w:r>
            <w:r w:rsidRPr="006A113D">
              <w:rPr>
                <w:rFonts w:ascii="Arial" w:hAnsi="Arial" w:cs="Arial"/>
              </w:rPr>
              <w:t>Formación a estudiantes en el programa Construye T</w:t>
            </w:r>
          </w:p>
          <w:p w:rsidR="00BE2D3E" w:rsidRPr="006A113D" w:rsidRDefault="00BE2D3E" w:rsidP="00950F94">
            <w:pPr>
              <w:rPr>
                <w:rFonts w:ascii="Arial" w:hAnsi="Arial" w:cs="Arial"/>
              </w:rPr>
            </w:pPr>
          </w:p>
        </w:tc>
      </w:tr>
      <w:tr w:rsidR="00BE2D3E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E" w:rsidRPr="006A113D" w:rsidRDefault="00BE2D3E" w:rsidP="00950F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SV" w:eastAsia="es-SV"/>
              </w:rPr>
              <w:drawing>
                <wp:inline distT="0" distB="0" distL="0" distR="0">
                  <wp:extent cx="467995" cy="638175"/>
                  <wp:effectExtent l="19050" t="0" r="8255" b="0"/>
                  <wp:docPr id="232" name="Imagen 4" descr="MPj0430959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 descr="MPj0430959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E" w:rsidRPr="006A113D" w:rsidRDefault="00BE2D3E" w:rsidP="00950F94">
            <w:pPr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 xml:space="preserve">DURACIÓN: </w:t>
            </w:r>
            <w:r w:rsidRPr="006A113D">
              <w:rPr>
                <w:rFonts w:ascii="Arial" w:hAnsi="Arial" w:cs="Arial"/>
              </w:rPr>
              <w:t>Dos sesiones de 50 minutos y trabajo hacia la comunidad escolar.  ( sesión 2 y sesión 3)</w:t>
            </w:r>
          </w:p>
        </w:tc>
      </w:tr>
      <w:tr w:rsidR="00BE2D3E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E" w:rsidRPr="006A113D" w:rsidRDefault="00BE2D3E" w:rsidP="00950F94">
            <w:pPr>
              <w:jc w:val="center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lang w:val="es-SV" w:eastAsia="es-SV"/>
              </w:rPr>
              <w:drawing>
                <wp:inline distT="0" distB="0" distL="0" distR="0">
                  <wp:extent cx="436245" cy="553085"/>
                  <wp:effectExtent l="19050" t="0" r="0" b="0"/>
                  <wp:docPr id="233" name="Imagen 5" descr="MCBD05219_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" descr="MCBD05219_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553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D3E" w:rsidRPr="006A113D" w:rsidRDefault="00BE2D3E" w:rsidP="00950F94">
            <w:pPr>
              <w:rPr>
                <w:rFonts w:ascii="Arial" w:hAnsi="Arial" w:cs="Arial"/>
              </w:rPr>
            </w:pP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E" w:rsidRPr="006A113D" w:rsidRDefault="00BE2D3E" w:rsidP="00950F94">
            <w:pPr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PROPÓSITO: Que las y los estudiantes…</w:t>
            </w:r>
          </w:p>
          <w:p w:rsidR="00BE2D3E" w:rsidRPr="00C36D86" w:rsidRDefault="00BE2D3E" w:rsidP="00BE03C7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bookmarkStart w:id="0" w:name="_GoBack"/>
            <w:r w:rsidRPr="00C36D86">
              <w:rPr>
                <w:rFonts w:ascii="Arial" w:hAnsi="Arial" w:cs="Arial"/>
              </w:rPr>
              <w:t>Reconozcan su derecho a la salud integral y de calidad</w:t>
            </w:r>
          </w:p>
          <w:p w:rsidR="00BE2D3E" w:rsidRPr="00C36D86" w:rsidRDefault="00BE2D3E" w:rsidP="00BE03C7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36D86">
              <w:rPr>
                <w:rFonts w:ascii="Arial" w:hAnsi="Arial" w:cs="Arial"/>
              </w:rPr>
              <w:t>Colaboren a informar y crear conciencia en su comunidad para el cumplimiento de este derecho</w:t>
            </w:r>
          </w:p>
          <w:bookmarkEnd w:id="0"/>
          <w:p w:rsidR="00BE2D3E" w:rsidRPr="006A113D" w:rsidRDefault="00BE2D3E" w:rsidP="00950F94">
            <w:pPr>
              <w:rPr>
                <w:rFonts w:ascii="Arial" w:hAnsi="Arial" w:cs="Arial"/>
                <w:b/>
              </w:rPr>
            </w:pPr>
          </w:p>
          <w:p w:rsidR="00BE2D3E" w:rsidRPr="006A113D" w:rsidRDefault="00BE2D3E" w:rsidP="00950F94">
            <w:pPr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CONTENIDOS EN RELACIÓN CON LAS COMPETENCIAS PSICOSOCIALES</w:t>
            </w:r>
          </w:p>
          <w:p w:rsidR="00BE2D3E" w:rsidRPr="006A113D" w:rsidRDefault="00BE2D3E" w:rsidP="00BE03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 xml:space="preserve">Relación entre mi experiencia y la experiencia de las y los jóvenes de mi escuela respecto de las situaciones que obstaculizan el cumplimiento de nuestro derecho a la salud integral </w:t>
            </w:r>
          </w:p>
          <w:p w:rsidR="00BE2D3E" w:rsidRPr="006A113D" w:rsidRDefault="00BE2D3E" w:rsidP="00BE03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 xml:space="preserve">Comunicación hacia mi comunidad escolar para sensibilizarla frente a las situaciones que obstaculizan nuestro derecho a una vida saludable </w:t>
            </w:r>
          </w:p>
          <w:p w:rsidR="00BE2D3E" w:rsidRPr="006A113D" w:rsidRDefault="00BE2D3E" w:rsidP="00BE03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Consulta a mi comunidad escolar para motivar su participación en acciones posteriores de  prevención y atención de problemas de salud de las y los jóvenes.</w:t>
            </w:r>
          </w:p>
          <w:p w:rsidR="00BE2D3E" w:rsidRPr="006A113D" w:rsidRDefault="00BE2D3E" w:rsidP="00950F94">
            <w:pPr>
              <w:rPr>
                <w:rFonts w:ascii="Arial" w:hAnsi="Arial" w:cs="Arial"/>
                <w:b/>
              </w:rPr>
            </w:pPr>
          </w:p>
        </w:tc>
      </w:tr>
      <w:tr w:rsidR="00BE2D3E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3E" w:rsidRPr="006A113D" w:rsidRDefault="00BE2D3E" w:rsidP="00950F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lang w:val="es-SV" w:eastAsia="es-SV"/>
              </w:rPr>
              <w:drawing>
                <wp:inline distT="0" distB="0" distL="0" distR="0">
                  <wp:extent cx="488950" cy="765810"/>
                  <wp:effectExtent l="19050" t="0" r="0" b="0"/>
                  <wp:docPr id="234" name="Imagen 6" descr="MCj0415144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6" descr="MCj0415144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76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E" w:rsidRPr="006A113D" w:rsidRDefault="00BE2D3E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 xml:space="preserve">PREPARACIÓN DE </w:t>
            </w:r>
            <w:smartTag w:uri="urn:schemas-microsoft-com:office:smarttags" w:element="PersonName">
              <w:smartTagPr>
                <w:attr w:name="ProductID" w:val="LA ACTIVIDAD"/>
              </w:smartTagPr>
              <w:r w:rsidRPr="006A113D">
                <w:rPr>
                  <w:rFonts w:ascii="Arial" w:hAnsi="Arial" w:cs="Arial"/>
                  <w:b/>
                </w:rPr>
                <w:t>LA ACTIVIDAD</w:t>
              </w:r>
            </w:smartTag>
            <w:r w:rsidRPr="006A113D">
              <w:rPr>
                <w:rFonts w:ascii="Arial" w:hAnsi="Arial" w:cs="Arial"/>
                <w:b/>
              </w:rPr>
              <w:t>:</w:t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 xml:space="preserve">Para poder enriquecer la reflexión e información de las y los jóvenes en esta actividad, se sugiere que el facilitador(a) revise los resultados del diagnóstico escolar identificando los riesgos de salud que han aparecido y también el grado de protección ante éstos. </w:t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>Se necesitará además que el facilitador(a) tenga una fotocopia de los cuadros con preguntas que se utilizarán en cada una de las sesiones para que los equipos tengan su propio material; así mismo, que haya previsto de manera general, dónde se podrá montar el mural y el permiso correspondiente.</w:t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MATERIAL QUE SE REQUIERE:</w:t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>Hojas de rotafolio o papel revolución, marcadores, crayones, papel de diferentes tipos para elaborar collages y el mural, tijeras, pegamento, cinta adhesiva, revistas para recortar, fotocopias de las preguntas para trabajar y fotocopias de la ficha técnica para información de las y los estudiantes.</w:t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</w:tc>
      </w:tr>
      <w:tr w:rsidR="00BE2D3E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E" w:rsidRPr="006A113D" w:rsidRDefault="00BE2D3E" w:rsidP="00950F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SV" w:eastAsia="es-SV"/>
              </w:rPr>
              <w:lastRenderedPageBreak/>
              <w:drawing>
                <wp:inline distT="0" distB="0" distL="0" distR="0">
                  <wp:extent cx="903605" cy="903605"/>
                  <wp:effectExtent l="0" t="0" r="0" b="0"/>
                  <wp:docPr id="235" name="Imagen 11" descr="MCj0441400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1" descr="MCj0441400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E" w:rsidRPr="006A113D" w:rsidRDefault="00BE2D3E" w:rsidP="00950F94">
            <w:pPr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FICHA TÉCNICA:</w:t>
            </w:r>
          </w:p>
          <w:p w:rsidR="00BE2D3E" w:rsidRPr="006A113D" w:rsidRDefault="00BE2D3E" w:rsidP="00950F94">
            <w:pPr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¿QUÉ DICEN LAS ESTADÍSTICAS NACIONALES ACERCA DEL ESTADO DE SALUD DE LAS Y LOS JÓVENES MEXICANOS?</w:t>
            </w:r>
          </w:p>
          <w:p w:rsidR="00BE2D3E" w:rsidRPr="006A113D" w:rsidRDefault="00BE2D3E" w:rsidP="00950F94">
            <w:pPr>
              <w:rPr>
                <w:rFonts w:ascii="Arial" w:hAnsi="Arial" w:cs="Arial"/>
              </w:rPr>
            </w:pPr>
          </w:p>
          <w:p w:rsidR="00BE2D3E" w:rsidRPr="006A113D" w:rsidRDefault="00BE2D3E" w:rsidP="00BE03C7">
            <w:pPr>
              <w:pStyle w:val="Prrafodelista2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Jóvenes y su derecho a la salud – “adoptar un modo de vida saludable”</w:t>
            </w:r>
          </w:p>
          <w:p w:rsidR="00BE2D3E" w:rsidRPr="006A113D" w:rsidRDefault="00BE2D3E" w:rsidP="00950F94">
            <w:pPr>
              <w:ind w:left="1080"/>
              <w:jc w:val="both"/>
              <w:rPr>
                <w:rFonts w:ascii="Arial" w:hAnsi="Arial" w:cs="Arial"/>
                <w:i/>
              </w:rPr>
            </w:pPr>
            <w:r w:rsidRPr="006A113D">
              <w:rPr>
                <w:rFonts w:ascii="Arial" w:hAnsi="Arial" w:cs="Arial"/>
                <w:i/>
              </w:rPr>
              <w:t>“La mortalidad es una medida engañosa de la salud de los jóvenes porque no refleja el comportamiento que pondrá en peligro su salud más adelante”</w:t>
            </w:r>
            <w:r w:rsidRPr="006A113D">
              <w:rPr>
                <w:rStyle w:val="Refdenotaalpie"/>
                <w:rFonts w:ascii="Arial" w:hAnsi="Arial" w:cs="Arial"/>
                <w:i/>
              </w:rPr>
              <w:footnoteReference w:id="1"/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  <w:bCs/>
                <w:lang w:val="es-ES_tradnl"/>
              </w:rPr>
            </w:pPr>
            <w:r w:rsidRPr="006A113D">
              <w:rPr>
                <w:rFonts w:ascii="Arial" w:hAnsi="Arial" w:cs="Arial"/>
              </w:rPr>
              <w:t xml:space="preserve">De acuerdo a </w:t>
            </w:r>
            <w:smartTag w:uri="urn:schemas-microsoft-com:office:smarttags" w:element="PersonName">
              <w:smartTagPr>
                <w:attr w:name="ProductID" w:val="La Encuesta Nacional"/>
              </w:smartTagPr>
              <w:r w:rsidRPr="006A113D">
                <w:rPr>
                  <w:rFonts w:ascii="Arial" w:hAnsi="Arial" w:cs="Arial"/>
                </w:rPr>
                <w:t>la Encuesta Nacional</w:t>
              </w:r>
            </w:smartTag>
            <w:r w:rsidRPr="006A113D">
              <w:rPr>
                <w:rFonts w:ascii="Arial" w:hAnsi="Arial" w:cs="Arial"/>
              </w:rPr>
              <w:t xml:space="preserve"> de Juventud 2005 (ENJ 2005) en México, la inmensa mayoría de las y los jóvenes opina que su salud es buena aunque en promedio, el 15% muestra preocupación por su peso. A pesar de la información que han recibido en la escuela, parecen no relacionar efectivamente en su vida cotidiana los hábitos nutricionales con su salud. Al indagar sobre este aspecto, las y los jóvenes responden que lo que predomina en su alimentación diaria son los lácteos, la leguminosas y el pan; más de la mitad de ellas y ellos responden que alguna vez a la semana ingieren carne; alrededor del 40% dicen que alguna vez a la semana comen tubérculos, frutas, verduras y cereales, mientras que un poco más de la tercera parte de hombres y mujeres afirman que comen diariamente o alguna vez a la semana, golosinas, refrescos y comida rápida. </w:t>
            </w:r>
            <w:r w:rsidRPr="006A113D">
              <w:rPr>
                <w:rFonts w:ascii="Arial" w:hAnsi="Arial" w:cs="Arial"/>
                <w:bCs/>
                <w:lang w:val="es-ES_tradnl"/>
              </w:rPr>
              <w:t xml:space="preserve">Según </w:t>
            </w:r>
            <w:smartTag w:uri="urn:schemas-microsoft-com:office:smarttags" w:element="PersonName">
              <w:smartTagPr>
                <w:attr w:name="ProductID" w:val="La Encuesta Nacional"/>
              </w:smartTagPr>
              <w:r w:rsidRPr="006A113D">
                <w:rPr>
                  <w:rFonts w:ascii="Arial" w:hAnsi="Arial" w:cs="Arial"/>
                  <w:bCs/>
                  <w:lang w:val="es-ES_tradnl"/>
                </w:rPr>
                <w:t>la Encuesta Nacional</w:t>
              </w:r>
            </w:smartTag>
            <w:r w:rsidRPr="006A113D">
              <w:rPr>
                <w:rFonts w:ascii="Arial" w:hAnsi="Arial" w:cs="Arial"/>
                <w:bCs/>
                <w:lang w:val="es-ES_tradnl"/>
              </w:rPr>
              <w:t xml:space="preserve"> de Salud y Nutrición 2006, más de 20% de jóvenes de </w:t>
            </w:r>
            <w:smartTag w:uri="urn:schemas-microsoft-com:office:smarttags" w:element="metricconverter">
              <w:smartTagPr>
                <w:attr w:name="ProductID" w:val="15 A"/>
              </w:smartTagPr>
              <w:r w:rsidRPr="006A113D">
                <w:rPr>
                  <w:rFonts w:ascii="Arial" w:hAnsi="Arial" w:cs="Arial"/>
                  <w:bCs/>
                  <w:lang w:val="es-ES_tradnl"/>
                </w:rPr>
                <w:t>15 a</w:t>
              </w:r>
            </w:smartTag>
            <w:r w:rsidRPr="006A113D">
              <w:rPr>
                <w:rFonts w:ascii="Arial" w:hAnsi="Arial" w:cs="Arial"/>
                <w:bCs/>
                <w:lang w:val="es-ES_tradnl"/>
              </w:rPr>
              <w:t xml:space="preserve"> 29 años tiene sobrepeso y poco menos de 10% obesidad. (INEGI, 2009)</w:t>
            </w:r>
          </w:p>
          <w:p w:rsidR="00BE2D3E" w:rsidRPr="006A113D" w:rsidRDefault="00BE2D3E" w:rsidP="00950F94">
            <w:pPr>
              <w:keepNext/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keepNext/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 xml:space="preserve">Relacionados con el estado de salud general se destacan dos aspectos: el hábito de realizar actividad física y el consumo de alcohol y tabaco. Un porcentaje importante de los jóvenes realiza actividad física (73.3% entre los 12 y 14 años; 63.6% entre los 15 y 19); en menor medida, pero también cerca de la mitad de las mujeres realizan actividad física (46.5% y 42.6% respectivamente). En promedio, la frecuencia con la que hacen ejercicio es 3 veces a la semana. Es importante advertir que entre más se acercan al final de la juventud, estos porcentajes disminuyen. </w:t>
            </w:r>
          </w:p>
          <w:p w:rsidR="00BE2D3E" w:rsidRPr="006A113D" w:rsidRDefault="00BE2D3E" w:rsidP="00950F94">
            <w:pPr>
              <w:keepNext/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 xml:space="preserve">Respecto al consumo de cigarro, la mitad de los varones jóvenes (51.5%) así como  un poco menos de las mujeres (41.9%) han fumado. Entre los 12 y 14 años, el porcentaje es bajo (9.2% de los varones y 7.3% de las mujeres), sin </w:t>
            </w:r>
            <w:r w:rsidRPr="006A113D">
              <w:rPr>
                <w:rFonts w:ascii="Arial" w:hAnsi="Arial" w:cs="Arial"/>
              </w:rPr>
              <w:lastRenderedPageBreak/>
              <w:t xml:space="preserve">embargo, en el siguiente rango de edad, de los </w:t>
            </w:r>
            <w:smartTag w:uri="urn:schemas-microsoft-com:office:smarttags" w:element="metricconverter">
              <w:smartTagPr>
                <w:attr w:name="ProductID" w:val="15 A"/>
              </w:smartTagPr>
              <w:r w:rsidRPr="006A113D">
                <w:rPr>
                  <w:rFonts w:ascii="Arial" w:hAnsi="Arial" w:cs="Arial"/>
                </w:rPr>
                <w:t>15 a</w:t>
              </w:r>
            </w:smartTag>
            <w:r w:rsidRPr="006A113D">
              <w:rPr>
                <w:rFonts w:ascii="Arial" w:hAnsi="Arial" w:cs="Arial"/>
              </w:rPr>
              <w:t xml:space="preserve"> 19, se registra un incremento muy significativo: el 51.2% de los varones y el 40.7% de las mujeres. Estos porcentajes continúan incrementándose con la edad para llegar a representar el 65% de los hombres jóvenes y el 53.6% de las mujeres. En cuanto al consumo de alcohol, la proporción es similar, aunque llama la atención que el 45.2% de los varones entre 12 y 14 años ya afirma consumir alcohol, porcentaje que se incrementa para llegar al 54.9% en el rango de </w:t>
            </w:r>
            <w:smartTag w:uri="urn:schemas-microsoft-com:office:smarttags" w:element="metricconverter">
              <w:smartTagPr>
                <w:attr w:name="ProductID" w:val="15 A"/>
              </w:smartTagPr>
              <w:r w:rsidRPr="006A113D">
                <w:rPr>
                  <w:rFonts w:ascii="Arial" w:hAnsi="Arial" w:cs="Arial"/>
                </w:rPr>
                <w:t>15 a</w:t>
              </w:r>
            </w:smartTag>
            <w:r w:rsidRPr="006A113D">
              <w:rPr>
                <w:rFonts w:ascii="Arial" w:hAnsi="Arial" w:cs="Arial"/>
              </w:rPr>
              <w:t xml:space="preserve"> 19 años; en el caso de las mujeres, hay un incremento importante entre ambos rangos de edad, pasando del 12.3% al 47.8%. En promedio, el 68% de los jóvenes y el 50.9% de las jóvenes consumen alcohol.</w:t>
            </w: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br w:type="page"/>
            </w: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lang w:val="es-ES_tradnl"/>
              </w:rPr>
            </w:pPr>
            <w:r w:rsidRPr="006A113D">
              <w:rPr>
                <w:rFonts w:ascii="Arial" w:hAnsi="Arial" w:cs="Arial"/>
                <w:bCs/>
              </w:rPr>
              <w:t>De acuerdo a los datos del INEGI e</w:t>
            </w:r>
            <w:r w:rsidRPr="006A113D">
              <w:rPr>
                <w:rFonts w:ascii="Arial" w:hAnsi="Arial" w:cs="Arial"/>
                <w:bCs/>
                <w:lang w:val="es-ES_tradnl"/>
              </w:rPr>
              <w:t xml:space="preserve">n 2007, el número de defunciones por accidentes entre los varones de </w:t>
            </w:r>
            <w:smartTag w:uri="urn:schemas-microsoft-com:office:smarttags" w:element="metricconverter">
              <w:smartTagPr>
                <w:attr w:name="ProductID" w:val="15 A"/>
              </w:smartTagPr>
              <w:r w:rsidRPr="006A113D">
                <w:rPr>
                  <w:rFonts w:ascii="Arial" w:hAnsi="Arial" w:cs="Arial"/>
                  <w:bCs/>
                  <w:lang w:val="es-ES_tradnl"/>
                </w:rPr>
                <w:t>15 a</w:t>
              </w:r>
            </w:smartTag>
            <w:r w:rsidRPr="006A113D">
              <w:rPr>
                <w:rFonts w:ascii="Arial" w:hAnsi="Arial" w:cs="Arial"/>
                <w:bCs/>
                <w:lang w:val="es-ES_tradnl"/>
              </w:rPr>
              <w:t xml:space="preserve"> 29 años (8 554) equivale a poco más del total de defunciones registradas por las mujeres de la misma edad (7 991). Tanto para los hombres (40.4%) como para las mujeres (21.6%), la principal causa de muerte son los accidentes, que representan 35.2% del total de decesos de la población joven. </w:t>
            </w: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lang w:val="es-ES_tradn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  <w:bCs/>
                <w:lang w:val="es-ES_tradnl"/>
              </w:rPr>
            </w:pPr>
            <w:r w:rsidRPr="006A113D">
              <w:rPr>
                <w:rFonts w:ascii="Arial" w:hAnsi="Arial" w:cs="Arial"/>
                <w:bCs/>
                <w:lang w:val="es-ES_tradnl"/>
              </w:rPr>
              <w:t xml:space="preserve">El INEGI reporta también que la segunda causa de muerte entre los varones jóvenes son las agresiones (12.4%); por grupos de edad se mantiene esta estructura, siendo la tercera causa de muerte entre los adolescentes de </w:t>
            </w:r>
            <w:smartTag w:uri="urn:schemas-microsoft-com:office:smarttags" w:element="metricconverter">
              <w:smartTagPr>
                <w:attr w:name="ProductID" w:val="15 A"/>
              </w:smartTagPr>
              <w:r w:rsidRPr="006A113D">
                <w:rPr>
                  <w:rFonts w:ascii="Arial" w:hAnsi="Arial" w:cs="Arial"/>
                  <w:bCs/>
                  <w:lang w:val="es-ES_tradnl"/>
                </w:rPr>
                <w:t>15 a</w:t>
              </w:r>
            </w:smartTag>
            <w:r w:rsidRPr="006A113D">
              <w:rPr>
                <w:rFonts w:ascii="Arial" w:hAnsi="Arial" w:cs="Arial"/>
                <w:bCs/>
                <w:lang w:val="es-ES_tradnl"/>
              </w:rPr>
              <w:t xml:space="preserve"> 19 años los tumores malignos (8.1%) destacando la leucemia con 47.9%; para los de </w:t>
            </w:r>
            <w:smartTag w:uri="urn:schemas-microsoft-com:office:smarttags" w:element="metricconverter">
              <w:smartTagPr>
                <w:attr w:name="ProductID" w:val="20 a"/>
              </w:smartTagPr>
              <w:r w:rsidRPr="006A113D">
                <w:rPr>
                  <w:rFonts w:ascii="Arial" w:hAnsi="Arial" w:cs="Arial"/>
                  <w:bCs/>
                  <w:lang w:val="es-ES_tradnl"/>
                </w:rPr>
                <w:t>20 a</w:t>
              </w:r>
            </w:smartTag>
            <w:r w:rsidRPr="006A113D">
              <w:rPr>
                <w:rFonts w:ascii="Arial" w:hAnsi="Arial" w:cs="Arial"/>
                <w:bCs/>
                <w:lang w:val="es-ES_tradnl"/>
              </w:rPr>
              <w:t xml:space="preserve"> 24 años la tercera causa son las lesiones </w:t>
            </w:r>
            <w:proofErr w:type="spellStart"/>
            <w:r w:rsidRPr="006A113D">
              <w:rPr>
                <w:rFonts w:ascii="Arial" w:hAnsi="Arial" w:cs="Arial"/>
                <w:bCs/>
                <w:lang w:val="es-ES_tradnl"/>
              </w:rPr>
              <w:t>autoinfligidas</w:t>
            </w:r>
            <w:proofErr w:type="spellEnd"/>
            <w:r w:rsidRPr="006A113D">
              <w:rPr>
                <w:rFonts w:ascii="Arial" w:hAnsi="Arial" w:cs="Arial"/>
                <w:bCs/>
                <w:lang w:val="es-ES_tradnl"/>
              </w:rPr>
              <w:t xml:space="preserve"> intencionalmente con 7.5% destacando la lesión </w:t>
            </w:r>
            <w:proofErr w:type="spellStart"/>
            <w:r w:rsidRPr="006A113D">
              <w:rPr>
                <w:rFonts w:ascii="Arial" w:hAnsi="Arial" w:cs="Arial"/>
                <w:bCs/>
                <w:lang w:val="es-ES_tradnl"/>
              </w:rPr>
              <w:t>autoinfligida</w:t>
            </w:r>
            <w:proofErr w:type="spellEnd"/>
            <w:r w:rsidRPr="006A113D">
              <w:rPr>
                <w:rFonts w:ascii="Arial" w:hAnsi="Arial" w:cs="Arial"/>
                <w:bCs/>
                <w:lang w:val="es-ES_tradnl"/>
              </w:rPr>
              <w:t xml:space="preserve"> intencionalmente por ahorcamiento, estrangulamiento o sofocación</w:t>
            </w:r>
            <w:r w:rsidRPr="006A113D" w:rsidDel="00183979">
              <w:rPr>
                <w:rFonts w:ascii="Arial" w:hAnsi="Arial" w:cs="Arial"/>
                <w:bCs/>
                <w:lang w:val="es-ES_tradnl"/>
              </w:rPr>
              <w:t xml:space="preserve"> </w:t>
            </w:r>
            <w:r w:rsidRPr="006A113D">
              <w:rPr>
                <w:rFonts w:ascii="Arial" w:hAnsi="Arial" w:cs="Arial"/>
                <w:bCs/>
                <w:lang w:val="es-ES_tradnl"/>
              </w:rPr>
              <w:t xml:space="preserve">con 84.6%; para  los jóvenes de </w:t>
            </w:r>
            <w:smartTag w:uri="urn:schemas-microsoft-com:office:smarttags" w:element="metricconverter">
              <w:smartTagPr>
                <w:attr w:name="ProductID" w:val="25 a"/>
              </w:smartTagPr>
              <w:r w:rsidRPr="006A113D">
                <w:rPr>
                  <w:rFonts w:ascii="Arial" w:hAnsi="Arial" w:cs="Arial"/>
                  <w:bCs/>
                  <w:lang w:val="es-ES_tradnl"/>
                </w:rPr>
                <w:t>25 a</w:t>
              </w:r>
            </w:smartTag>
            <w:r w:rsidRPr="006A113D">
              <w:rPr>
                <w:rFonts w:ascii="Arial" w:hAnsi="Arial" w:cs="Arial"/>
                <w:bCs/>
                <w:lang w:val="es-ES_tradnl"/>
              </w:rPr>
              <w:t xml:space="preserve"> 29 años la tercera causa de muerte son las </w:t>
            </w:r>
            <w:r w:rsidRPr="006A113D">
              <w:rPr>
                <w:rFonts w:ascii="Arial" w:hAnsi="Arial" w:cs="Arial"/>
              </w:rPr>
              <w:t xml:space="preserve">enfermedad por virus de inmunodeficiencia humana (VIH) </w:t>
            </w:r>
            <w:r w:rsidRPr="006A113D">
              <w:rPr>
                <w:rFonts w:ascii="Arial" w:hAnsi="Arial" w:cs="Arial"/>
                <w:bCs/>
                <w:lang w:val="es-ES_tradnl"/>
              </w:rPr>
              <w:t>con 6.7%.</w:t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  <w:bCs/>
                <w:lang w:val="es-ES_tradn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  <w:bCs/>
                <w:lang w:val="es-ES_tradnl"/>
              </w:rPr>
            </w:pPr>
            <w:r w:rsidRPr="006A113D">
              <w:rPr>
                <w:rFonts w:ascii="Arial" w:hAnsi="Arial" w:cs="Arial"/>
                <w:bCs/>
                <w:lang w:val="es-ES_tradnl"/>
              </w:rPr>
              <w:t xml:space="preserve">En el caso de las mujeres jóvenes, la segunda causa de muerte son los tumores malignos con 11.9%, por grupos de edad, se tiene como tercer causa de muerte las lesiones </w:t>
            </w:r>
            <w:proofErr w:type="spellStart"/>
            <w:r w:rsidRPr="006A113D">
              <w:rPr>
                <w:rFonts w:ascii="Arial" w:hAnsi="Arial" w:cs="Arial"/>
                <w:bCs/>
                <w:lang w:val="es-ES_tradnl"/>
              </w:rPr>
              <w:t>autoinfligidas</w:t>
            </w:r>
            <w:proofErr w:type="spellEnd"/>
            <w:r w:rsidRPr="006A113D">
              <w:rPr>
                <w:rFonts w:ascii="Arial" w:hAnsi="Arial" w:cs="Arial"/>
                <w:bCs/>
                <w:lang w:val="es-ES_tradnl"/>
              </w:rPr>
              <w:t xml:space="preserve"> intencionalmente con 5.7% y 5.1% entre las adolescentes de </w:t>
            </w:r>
            <w:smartTag w:uri="urn:schemas-microsoft-com:office:smarttags" w:element="metricconverter">
              <w:smartTagPr>
                <w:attr w:name="ProductID" w:val="15 A"/>
              </w:smartTagPr>
              <w:r w:rsidRPr="006A113D">
                <w:rPr>
                  <w:rFonts w:ascii="Arial" w:hAnsi="Arial" w:cs="Arial"/>
                  <w:bCs/>
                  <w:lang w:val="es-ES_tradnl"/>
                </w:rPr>
                <w:t>15 a</w:t>
              </w:r>
            </w:smartTag>
            <w:r w:rsidRPr="006A113D">
              <w:rPr>
                <w:rFonts w:ascii="Arial" w:hAnsi="Arial" w:cs="Arial"/>
                <w:bCs/>
                <w:lang w:val="es-ES_tradnl"/>
              </w:rPr>
              <w:t xml:space="preserve"> 19 y las jóvenes de </w:t>
            </w:r>
            <w:smartTag w:uri="urn:schemas-microsoft-com:office:smarttags" w:element="metricconverter">
              <w:smartTagPr>
                <w:attr w:name="ProductID" w:val="20 a"/>
              </w:smartTagPr>
              <w:r w:rsidRPr="006A113D">
                <w:rPr>
                  <w:rFonts w:ascii="Arial" w:hAnsi="Arial" w:cs="Arial"/>
                  <w:bCs/>
                  <w:lang w:val="es-ES_tradnl"/>
                </w:rPr>
                <w:t>20 a</w:t>
              </w:r>
            </w:smartTag>
            <w:r w:rsidRPr="006A113D">
              <w:rPr>
                <w:rFonts w:ascii="Arial" w:hAnsi="Arial" w:cs="Arial"/>
                <w:bCs/>
                <w:lang w:val="es-ES_tradnl"/>
              </w:rPr>
              <w:t xml:space="preserve"> 24 años, respectivamente. Para las mujeres de </w:t>
            </w:r>
            <w:smartTag w:uri="urn:schemas-microsoft-com:office:smarttags" w:element="metricconverter">
              <w:smartTagPr>
                <w:attr w:name="ProductID" w:val="25 a"/>
              </w:smartTagPr>
              <w:r w:rsidRPr="006A113D">
                <w:rPr>
                  <w:rFonts w:ascii="Arial" w:hAnsi="Arial" w:cs="Arial"/>
                  <w:bCs/>
                  <w:lang w:val="es-ES_tradnl"/>
                </w:rPr>
                <w:t>25 a</w:t>
              </w:r>
            </w:smartTag>
            <w:r w:rsidRPr="006A113D">
              <w:rPr>
                <w:rFonts w:ascii="Arial" w:hAnsi="Arial" w:cs="Arial"/>
                <w:bCs/>
                <w:lang w:val="es-ES_tradnl"/>
              </w:rPr>
              <w:t xml:space="preserve"> 29 años la enfermedad por virus de la inmunodeficiencia humana [VIH]</w:t>
            </w:r>
            <w:r w:rsidRPr="006A113D" w:rsidDel="00886BBF">
              <w:rPr>
                <w:rFonts w:ascii="Arial" w:hAnsi="Arial" w:cs="Arial"/>
                <w:bCs/>
                <w:lang w:val="es-ES_tradnl"/>
              </w:rPr>
              <w:t xml:space="preserve"> </w:t>
            </w:r>
            <w:r w:rsidRPr="006A113D">
              <w:rPr>
                <w:rFonts w:ascii="Arial" w:hAnsi="Arial" w:cs="Arial"/>
                <w:bCs/>
                <w:lang w:val="es-ES_tradnl"/>
              </w:rPr>
              <w:t>representa la tercera causa con 4.5% de las defunciones.</w:t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 xml:space="preserve">En el país, sólo la mitad de las y los jóvenes tienen acceso a servicios de salud pública (55.6%), predominando la cobertura del Instituto Mexicano del Seguro Social (IMSS) en un 70% de los casos; le sigue en orden de importancia el Instituto de Seguridad Social al Servicio de los Trabajadores del Estado (ISSSTE) con un 11% de los casos; </w:t>
            </w:r>
            <w:smartTag w:uri="urn:schemas-microsoft-com:office:smarttags" w:element="PersonName">
              <w:smartTagPr>
                <w:attr w:name="ProductID" w:val="la Secretar￭a"/>
              </w:smartTagPr>
              <w:r w:rsidRPr="006A113D">
                <w:rPr>
                  <w:rFonts w:ascii="Arial" w:hAnsi="Arial" w:cs="Arial"/>
                </w:rPr>
                <w:t>la Secretaría</w:t>
              </w:r>
            </w:smartTag>
            <w:r w:rsidRPr="006A113D">
              <w:rPr>
                <w:rFonts w:ascii="Arial" w:hAnsi="Arial" w:cs="Arial"/>
              </w:rPr>
              <w:t xml:space="preserve"> de Salud que cubre al 6% de los casos y el Seguro Popular que parece estar más aprovechado por las jóvenes, ya que un 11.4% declara </w:t>
            </w:r>
            <w:r w:rsidRPr="006A113D">
              <w:rPr>
                <w:rFonts w:ascii="Arial" w:hAnsi="Arial" w:cs="Arial"/>
              </w:rPr>
              <w:lastRenderedPageBreak/>
              <w:t>tener acceso en contraste con sólo un 7.3% de los jóvenes.  Llama la atención que al interrogar a las y los jóvenes por su derecho a la salud, sólo la mitad reconoció que tiene este derecho exigible al Estado.</w:t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BE03C7">
            <w:pPr>
              <w:pStyle w:val="Prrafodelista2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Adolescentes y sus derechos sexuales y reproductivos</w:t>
            </w:r>
          </w:p>
          <w:p w:rsidR="00BE2D3E" w:rsidRPr="006A113D" w:rsidRDefault="00BE2D3E" w:rsidP="00950F94">
            <w:pPr>
              <w:ind w:left="1080"/>
              <w:jc w:val="both"/>
              <w:rPr>
                <w:rFonts w:ascii="Arial" w:hAnsi="Arial" w:cs="Arial"/>
                <w:i/>
              </w:rPr>
            </w:pPr>
            <w:r w:rsidRPr="006A113D">
              <w:rPr>
                <w:rFonts w:ascii="Arial" w:hAnsi="Arial" w:cs="Arial"/>
                <w:i/>
              </w:rPr>
              <w:t>“La escasez de oportunidades económicas, un acceso insuficiente a los servicios, y las normas tradicionales que rodean el comportamiento sexual, el matrimonio, la paternidad y maternidad, pueden promover matrimonios de personas extremadamente jóvenes (…)”</w:t>
            </w:r>
            <w:r w:rsidRPr="006A113D">
              <w:rPr>
                <w:rStyle w:val="Refdenotaalpie"/>
                <w:rFonts w:ascii="Arial" w:hAnsi="Arial" w:cs="Arial"/>
                <w:i/>
              </w:rPr>
              <w:footnoteReference w:id="2"/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 xml:space="preserve">En México,  de acuerdo con </w:t>
            </w:r>
            <w:smartTag w:uri="urn:schemas-microsoft-com:office:smarttags" w:element="PersonName">
              <w:smartTagPr>
                <w:attr w:name="ProductID" w:val="la ENJ"/>
              </w:smartTagPr>
              <w:r w:rsidRPr="006A113D">
                <w:rPr>
                  <w:rFonts w:ascii="Arial" w:hAnsi="Arial" w:cs="Arial"/>
                </w:rPr>
                <w:t>la ENJ</w:t>
              </w:r>
            </w:smartTag>
            <w:r w:rsidRPr="006A113D">
              <w:rPr>
                <w:rFonts w:ascii="Arial" w:hAnsi="Arial" w:cs="Arial"/>
              </w:rPr>
              <w:t xml:space="preserve">2005 aproximadamente la mitad de las y los jóvenes han tenido relaciones sexuales (48.7%). Sin embargo, en el rango de edad de los 12-14, el 91% de los varones y el 98.5% de las mujeres afirman no haber iniciado su vida sexual. Más tarde, entre los </w:t>
            </w:r>
            <w:smartTag w:uri="urn:schemas-microsoft-com:office:smarttags" w:element="metricconverter">
              <w:smartTagPr>
                <w:attr w:name="ProductID" w:val="15 A"/>
              </w:smartTagPr>
              <w:r w:rsidRPr="006A113D">
                <w:rPr>
                  <w:rFonts w:ascii="Arial" w:hAnsi="Arial" w:cs="Arial"/>
                </w:rPr>
                <w:t>15 a</w:t>
              </w:r>
            </w:smartTag>
            <w:r w:rsidRPr="006A113D">
              <w:rPr>
                <w:rFonts w:ascii="Arial" w:hAnsi="Arial" w:cs="Arial"/>
              </w:rPr>
              <w:t xml:space="preserve"> 19 años, un tercio de los varones y una quinta parte de las mujeres ya lo han hecho. La primera experiencia sexual tanto en los varones como en las mujeres corresponde principalmente a la pareja con quien se sostiene una relación de noviazgo; sin embargo, el segundo lugar en importancia para los varones son las amigas (33.9%) y para las mujeres son los esposos (36%) mientras que la referencia a los amigos es muy baja (5.9%). Esto nos habla de que prevalecen aún de los roles tradicionales de género.</w:t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>En los últimos años, a nivel nacional, se registran progresos en cuanto al embarazo adolescente. Se destaca que es entre los 18 y 20  años cuando la mayoría de las y los jóvenes viven esta experiencia; aquellos que declaran haberse embarazado o embarazar a alguien antes de los 20 años representan en el caso de los varones el 5.7% y en el caso de las mujeres, el 7.6%.  La evidencia cuantitativa parece mostrar que ha habido un efecto positivo para disminuir los riesgos del embarazo a temprana edad, incrementando el conocimiento de los métodos anticonceptivos y la educación sexual en las escuelas.</w:t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>Casi todos las y los jóvenes dicen conocer algún método de anticoncepción. En orden de importancia, tanto hombres como mujeres mencionan el preservativo o condón masculino (90%), en contraste, el condón femenino es desconocido por la mitad de las y los jóvenes; más del 60% desconoce también los métodos de anticoncepción de emergencia y sólo una tercera parte mencionó la abstinencia como un método anticonceptivo.</w:t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 xml:space="preserve">Más del 60% de las y los jóvenes afirman usar algún método anticonceptivo, lo cual comprueba que hay una relación proporcionalmente directa entre educación y autocuidado. Destaca que entre las razones que aducen quienes no usan algún método anticonceptivo solo una tercera parte es atribuible a que “no les gusta usar” y todavía una cuarta parte de las y los jóvenes afirman que su pareja o ambos no están de acuerdo en el uso de anticonceptivos. </w:t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>Entre las y los jóvenes que usan los anticonceptivos, es mayoritario el uso de éstos por consenso (57.6%) lo que habla de que las parejas tienen cada vez mayor capacidad de negociación y acuerdo. Las más vulnerables al respecto son las adolescentes entre 12 y 14 años, que en un 30%, afirman que esa decisión se la dejan a sus parejas.</w:t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>Referente al conocimiento de las infecciones de transmisión sexual (ITS) sólo el 16.1% contestó no conocerlas. El 83.6% que respondió conocer las ITS refiere el uso del condón, principalmente, como forma de protección.</w:t>
            </w:r>
          </w:p>
          <w:p w:rsidR="00BE2D3E" w:rsidRPr="006A113D" w:rsidRDefault="00BE2D3E" w:rsidP="00950F94">
            <w:pPr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rPr>
                <w:rFonts w:ascii="Arial" w:hAnsi="Arial" w:cs="Arial"/>
              </w:rPr>
            </w:pPr>
          </w:p>
        </w:tc>
      </w:tr>
      <w:tr w:rsidR="00BE2D3E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3E" w:rsidRPr="006A113D" w:rsidRDefault="00BE2D3E" w:rsidP="00950F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lang w:val="es-SV" w:eastAsia="es-SV"/>
              </w:rPr>
              <w:lastRenderedPageBreak/>
              <w:drawing>
                <wp:inline distT="0" distB="0" distL="0" distR="0">
                  <wp:extent cx="563245" cy="563245"/>
                  <wp:effectExtent l="19050" t="0" r="8255" b="0"/>
                  <wp:docPr id="236" name="Imagen 7" descr="MCj0285968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7" descr="MCj0285968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E" w:rsidRPr="006A113D" w:rsidRDefault="00BE2D3E" w:rsidP="00950F94">
            <w:pPr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MECÁNICA DE APLICACIÓN:</w:t>
            </w:r>
          </w:p>
          <w:p w:rsidR="00BE2D3E" w:rsidRPr="006A113D" w:rsidRDefault="00BE2D3E" w:rsidP="00950F94">
            <w:pPr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 xml:space="preserve">En dos sesiones de tutoría o en dos sesiones de taller se sugiere trabajar con el grupo la siguiente reflexión para producir un mural que invite a la interacción con la comunidad estudiantil. La actividad se divide en cuatro momentos. </w:t>
            </w:r>
          </w:p>
          <w:p w:rsidR="00BE2D3E" w:rsidRPr="006A113D" w:rsidRDefault="00BE2D3E" w:rsidP="00950F94">
            <w:pPr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Momento 1 (sesión 2)</w:t>
            </w:r>
          </w:p>
          <w:p w:rsidR="00BE2D3E" w:rsidRPr="006A113D" w:rsidRDefault="00BE2D3E" w:rsidP="00950F94">
            <w:pPr>
              <w:rPr>
                <w:rFonts w:ascii="Arial" w:hAnsi="Arial" w:cs="Arial"/>
                <w:b/>
              </w:rPr>
            </w:pPr>
          </w:p>
          <w:p w:rsidR="00BE2D3E" w:rsidRPr="006A113D" w:rsidRDefault="00BE2D3E" w:rsidP="00BE03C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El facilitador(a) motiva al grupo a empezar a actuar para mejorar las oportunidades que tienen de vivir una vida saludable. Para ello puede retomar las reflexiones que el mismo grupo llevó a cabo en la sesión anterior (Mi cuerpo, territorio de sueños y posibilidades) y complementar, contextualizando con una breve exposición de la situación de salud que viven las y los jóvenes en México.</w:t>
            </w:r>
          </w:p>
          <w:p w:rsidR="00BE2D3E" w:rsidRPr="006A113D" w:rsidRDefault="00BE2D3E" w:rsidP="00BE03C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Explica al grupo la importancia de lograr la concientización de otros jóvenes para fomentar la colaboración en acciones que les beneficien a todos(as)</w:t>
            </w:r>
          </w:p>
          <w:p w:rsidR="00BE2D3E" w:rsidRPr="006A113D" w:rsidRDefault="00BE2D3E" w:rsidP="00BE03C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Les propone la producción de un mural “interactivo” para provocar la comunicación y la participación de la comunidad escolar retomando las reflexiones de la sesión anterior para traducirlas en un producto de comunicación hacia la comunidad estudiantil...</w:t>
            </w:r>
          </w:p>
          <w:p w:rsidR="00BE2D3E" w:rsidRPr="006A113D" w:rsidRDefault="00BE2D3E" w:rsidP="00BE03C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Les indica que se dividan por equipos. Cada equipo tendrá que elaborar un conjunto de collages respondiendo a las siguientes preguntas:</w:t>
            </w: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  <w:color w:val="1A171B"/>
              </w:rPr>
              <w:t xml:space="preserve"> </w:t>
            </w: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rPr>
                <w:rFonts w:ascii="Arial" w:hAnsi="Arial" w:cs="Arial"/>
                <w:color w:val="1A171B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3383"/>
              <w:gridCol w:w="3383"/>
            </w:tblGrid>
            <w:tr w:rsidR="00BE2D3E" w:rsidRPr="006A113D" w:rsidTr="00950F94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1A171B"/>
                    </w:rPr>
                  </w:pPr>
                  <w:r w:rsidRPr="006A113D">
                    <w:rPr>
                      <w:rFonts w:ascii="Arial" w:hAnsi="Arial" w:cs="Arial"/>
                      <w:b/>
                      <w:color w:val="1A171B"/>
                    </w:rPr>
                    <w:lastRenderedPageBreak/>
                    <w:t>¿Qué significa para nosotros y nosotras el derecho que tenemos las y los jóvenes a la salud?</w:t>
                  </w: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1A171B"/>
                    </w:rPr>
                  </w:pPr>
                </w:p>
              </w:tc>
            </w:tr>
            <w:tr w:rsidR="00BE2D3E" w:rsidRPr="006A113D" w:rsidTr="00950F94"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  <w:r w:rsidRPr="006A113D">
                    <w:rPr>
                      <w:rFonts w:ascii="Arial" w:hAnsi="Arial" w:cs="Arial"/>
                      <w:color w:val="1A171B"/>
                    </w:rPr>
                    <w:t>¿Qué formas de pensar en lo que significa ser joven…?</w:t>
                  </w:r>
                </w:p>
              </w:tc>
              <w:tc>
                <w:tcPr>
                  <w:tcW w:w="2500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1A171B"/>
                    </w:rPr>
                  </w:pP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1A171B"/>
                    </w:rPr>
                  </w:pP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1A171B"/>
                    </w:rPr>
                  </w:pPr>
                  <w:r w:rsidRPr="006A113D">
                    <w:rPr>
                      <w:rFonts w:ascii="Arial" w:hAnsi="Arial" w:cs="Arial"/>
                      <w:b/>
                      <w:color w:val="1A171B"/>
                    </w:rPr>
                    <w:t xml:space="preserve">Están influyendo en nuestras vidas como un obstáculo para que este derecho sea una realidad y </w:t>
                  </w: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1A171B"/>
                    </w:rPr>
                  </w:pP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1A171B"/>
                    </w:rPr>
                  </w:pPr>
                  <w:r w:rsidRPr="006A113D">
                    <w:rPr>
                      <w:rFonts w:ascii="Arial" w:hAnsi="Arial" w:cs="Arial"/>
                      <w:b/>
                      <w:color w:val="1A171B"/>
                    </w:rPr>
                    <w:t>De qué manera nos afectan a hombres y a mujeres jóvenes…</w:t>
                  </w: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1A171B"/>
                    </w:rPr>
                  </w:pPr>
                </w:p>
              </w:tc>
            </w:tr>
            <w:tr w:rsidR="00BE2D3E" w:rsidRPr="006A113D" w:rsidTr="00950F94"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  <w:r w:rsidRPr="006A113D">
                    <w:rPr>
                      <w:rFonts w:ascii="Arial" w:hAnsi="Arial" w:cs="Arial"/>
                      <w:color w:val="1A171B"/>
                    </w:rPr>
                    <w:t>¿Qué formas de consumir no sólo alimentos sino todo tipo de cosas…?</w:t>
                  </w:r>
                </w:p>
              </w:tc>
              <w:tc>
                <w:tcPr>
                  <w:tcW w:w="2500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</w:p>
              </w:tc>
            </w:tr>
            <w:tr w:rsidR="00BE2D3E" w:rsidRPr="006A113D" w:rsidTr="00950F94"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  <w:r w:rsidRPr="006A113D">
                    <w:rPr>
                      <w:rFonts w:ascii="Arial" w:hAnsi="Arial" w:cs="Arial"/>
                      <w:color w:val="1A171B"/>
                    </w:rPr>
                    <w:t>¿Qué formas de relacionarse entre jóvenes y con las personas adultas…?</w:t>
                  </w:r>
                </w:p>
              </w:tc>
              <w:tc>
                <w:tcPr>
                  <w:tcW w:w="2500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</w:p>
              </w:tc>
            </w:tr>
            <w:tr w:rsidR="00BE2D3E" w:rsidRPr="006A113D" w:rsidTr="00950F94"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  <w:r w:rsidRPr="006A113D">
                    <w:rPr>
                      <w:rFonts w:ascii="Arial" w:hAnsi="Arial" w:cs="Arial"/>
                      <w:color w:val="1A171B"/>
                    </w:rPr>
                    <w:t>¿Qué situaciones sociales que vivimos en nuestra localidad…?</w:t>
                  </w:r>
                </w:p>
              </w:tc>
              <w:tc>
                <w:tcPr>
                  <w:tcW w:w="2500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</w:p>
              </w:tc>
            </w:tr>
            <w:tr w:rsidR="00BE2D3E" w:rsidRPr="006A113D" w:rsidTr="00950F94"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  <w:r w:rsidRPr="006A113D">
                    <w:rPr>
                      <w:rFonts w:ascii="Arial" w:hAnsi="Arial" w:cs="Arial"/>
                      <w:color w:val="1A171B"/>
                    </w:rPr>
                    <w:t>¿Qué situaciones ambientales que afectan  a nuestra región…?</w:t>
                  </w:r>
                </w:p>
              </w:tc>
              <w:tc>
                <w:tcPr>
                  <w:tcW w:w="2500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</w:p>
              </w:tc>
            </w:tr>
          </w:tbl>
          <w:p w:rsidR="00BE2D3E" w:rsidRPr="006A113D" w:rsidRDefault="00BE2D3E" w:rsidP="00950F94">
            <w:pPr>
              <w:autoSpaceDE w:val="0"/>
              <w:autoSpaceDN w:val="0"/>
              <w:adjustRightInd w:val="0"/>
              <w:rPr>
                <w:rFonts w:ascii="Arial" w:hAnsi="Arial" w:cs="Arial"/>
                <w:color w:val="1A171B"/>
              </w:rPr>
            </w:pPr>
          </w:p>
          <w:p w:rsidR="00BE2D3E" w:rsidRPr="006A113D" w:rsidRDefault="00BE2D3E" w:rsidP="00950F94">
            <w:pPr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Momento 2</w:t>
            </w: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rPr>
                <w:rFonts w:ascii="Arial" w:hAnsi="Arial" w:cs="Arial"/>
                <w:color w:val="1A171B"/>
              </w:rPr>
            </w:pP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El facilitador(a) motivará al grupo para que usando los collages que han elaborado, monten un mural en algún lugar estratégico de la escuela. Este mural deberá tener espacios que motiven a la comunidad estudiantil a expresarse en el mural. Para lograr mayor efectividad en la comunicación con sus compañeros y compañeras estudiantes, puede sugerirles acompañar el mural con un performance.</w:t>
            </w: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jc w:val="both"/>
              <w:rPr>
                <w:rFonts w:ascii="Arial" w:hAnsi="Arial" w:cs="Arial"/>
              </w:rPr>
            </w:pP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  <w:color w:val="1A171B"/>
              </w:rPr>
              <w:t>Momento 3: (sesión 3)</w:t>
            </w:r>
          </w:p>
          <w:p w:rsidR="00BE2D3E" w:rsidRPr="006A113D" w:rsidRDefault="00BE2D3E" w:rsidP="00BE03C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 xml:space="preserve">El facilitador(a) motiva al grupo a que comente su experiencia al entrar en contacto con la comunidad estudiantil a través del Mural. </w:t>
            </w:r>
          </w:p>
          <w:p w:rsidR="00BE2D3E" w:rsidRPr="006A113D" w:rsidRDefault="00BE2D3E" w:rsidP="00BE03C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En seguida, propone a las y los estudiantes dar un siguiente paso para crear conciencia en la comunidad estudiantil de la importancia del autocuidado y de hacer cumplir nuestro derecho a la salud integral y de calidad. Para ello, propone formar equipos y hacer un conjunto de collages respondiendo a las siguientes preguntas:</w:t>
            </w: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3383"/>
              <w:gridCol w:w="3383"/>
            </w:tblGrid>
            <w:tr w:rsidR="00BE2D3E" w:rsidRPr="006A113D" w:rsidTr="00950F94">
              <w:tc>
                <w:tcPr>
                  <w:tcW w:w="3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  <w:r w:rsidRPr="006A113D">
                    <w:rPr>
                      <w:rFonts w:ascii="Arial" w:hAnsi="Arial" w:cs="Arial"/>
                      <w:color w:val="1A171B"/>
                    </w:rPr>
                    <w:t>¿Cuáles son los principales problemas de salud física que enfrentamos las jóvenes de esta escuela?</w:t>
                  </w: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/>
                      <w:color w:val="1A171B"/>
                    </w:rPr>
                  </w:pPr>
                </w:p>
              </w:tc>
              <w:tc>
                <w:tcPr>
                  <w:tcW w:w="3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  <w:r w:rsidRPr="006A113D">
                    <w:rPr>
                      <w:rFonts w:ascii="Arial" w:hAnsi="Arial" w:cs="Arial"/>
                      <w:color w:val="1A171B"/>
                    </w:rPr>
                    <w:t>¿Cuáles son los principales problemas de salud sexual y reproductiva que enfrentamos los jóvenes de esta escuela?</w:t>
                  </w: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/>
                      <w:color w:val="1A171B"/>
                    </w:rPr>
                  </w:pPr>
                </w:p>
              </w:tc>
            </w:tr>
            <w:tr w:rsidR="00BE2D3E" w:rsidRPr="006A113D" w:rsidTr="00950F94">
              <w:tc>
                <w:tcPr>
                  <w:tcW w:w="3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  <w:r w:rsidRPr="006A113D">
                    <w:rPr>
                      <w:rFonts w:ascii="Arial" w:hAnsi="Arial" w:cs="Arial"/>
                      <w:color w:val="1A171B"/>
                    </w:rPr>
                    <w:lastRenderedPageBreak/>
                    <w:t>¿Cuáles son los principales problemas de salud mental que enfrentamos las jóvenes de esta escuela?</w:t>
                  </w: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/>
                      <w:color w:val="1A171B"/>
                    </w:rPr>
                  </w:pPr>
                </w:p>
              </w:tc>
              <w:tc>
                <w:tcPr>
                  <w:tcW w:w="3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  <w:r w:rsidRPr="006A113D">
                    <w:rPr>
                      <w:rFonts w:ascii="Arial" w:hAnsi="Arial" w:cs="Arial"/>
                      <w:color w:val="1A171B"/>
                    </w:rPr>
                    <w:lastRenderedPageBreak/>
                    <w:t>¿Qué recursos personales tenemos para prevenir y solucionar estos problemas?</w:t>
                  </w: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</w:p>
                <w:p w:rsidR="00BE2D3E" w:rsidRPr="006A113D" w:rsidRDefault="00BE2D3E" w:rsidP="00950F9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1A171B"/>
                    </w:rPr>
                  </w:pPr>
                  <w:r w:rsidRPr="006A113D">
                    <w:rPr>
                      <w:rFonts w:ascii="Arial" w:hAnsi="Arial" w:cs="Arial"/>
                      <w:color w:val="1A171B"/>
                    </w:rPr>
                    <w:t>¿Qué recursos nos ofrecen las instituciones del Estado para prevenir y solucionar estos problemas?</w:t>
                  </w:r>
                </w:p>
              </w:tc>
            </w:tr>
          </w:tbl>
          <w:p w:rsidR="00BE2D3E" w:rsidRPr="006A113D" w:rsidRDefault="00BE2D3E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  <w:color w:val="1A171B"/>
              </w:rPr>
              <w:t>Momento 4:</w:t>
            </w: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 xml:space="preserve">El facilitador(a) motivará al grupo para que, de la misma forma que anteriormente procedieron, usen los collages que han elaborado, para renovar el Mural sobre el Derecho a </w:t>
            </w:r>
            <w:smartTag w:uri="urn:schemas-microsoft-com:office:smarttags" w:element="PersonName">
              <w:smartTagPr>
                <w:attr w:name="ProductID" w:val="la Salud"/>
              </w:smartTagPr>
              <w:r w:rsidRPr="006A113D">
                <w:rPr>
                  <w:rFonts w:ascii="Arial" w:hAnsi="Arial" w:cs="Arial"/>
                  <w:color w:val="1A171B"/>
                </w:rPr>
                <w:t>la Salud</w:t>
              </w:r>
            </w:smartTag>
            <w:r w:rsidRPr="006A113D">
              <w:rPr>
                <w:rFonts w:ascii="Arial" w:hAnsi="Arial" w:cs="Arial"/>
                <w:color w:val="1A171B"/>
              </w:rPr>
              <w:t xml:space="preserve"> de las y los Jóvenes recordando que consideren espacios para que la comunidad estudiantil se exprese. En esta ocasión, puede sugerir que complementen estos espacios con un buzón donde las y los jóvenes puedan plantear con mayor privacidad (de forma anónima) situaciones que afectan su salud.</w:t>
            </w: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</w:p>
          <w:p w:rsidR="00BE2D3E" w:rsidRPr="006A113D" w:rsidRDefault="00BE2D3E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De igual forma, si les resultó útil antes, pueden acompañar el mural con un performance o bien con botargas diseñadas por ellos mismos(as).</w:t>
            </w:r>
          </w:p>
          <w:p w:rsidR="00BE2D3E" w:rsidRPr="006A113D" w:rsidRDefault="00BE2D3E" w:rsidP="00950F94">
            <w:pPr>
              <w:rPr>
                <w:rFonts w:ascii="Arial" w:hAnsi="Arial" w:cs="Arial"/>
              </w:rPr>
            </w:pPr>
          </w:p>
        </w:tc>
      </w:tr>
    </w:tbl>
    <w:p w:rsidR="00BE2D3E" w:rsidRPr="006A113D" w:rsidRDefault="00BE2D3E" w:rsidP="00BE2D3E">
      <w:pPr>
        <w:rPr>
          <w:rFonts w:ascii="Arial" w:hAnsi="Arial" w:cs="Arial"/>
        </w:rPr>
      </w:pPr>
    </w:p>
    <w:p w:rsidR="00BA01F3" w:rsidRPr="006A113D" w:rsidRDefault="00BA01F3" w:rsidP="00BA01F3">
      <w:pPr>
        <w:rPr>
          <w:rFonts w:ascii="Arial" w:hAnsi="Arial" w:cs="Arial"/>
        </w:rPr>
      </w:pPr>
    </w:p>
    <w:sectPr w:rsidR="00BA01F3" w:rsidRPr="006A113D" w:rsidSect="007B480E">
      <w:pgSz w:w="11906" w:h="16838"/>
      <w:pgMar w:top="1361" w:right="1134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190" w:rsidRDefault="003B6190" w:rsidP="002C188E">
      <w:r>
        <w:separator/>
      </w:r>
    </w:p>
  </w:endnote>
  <w:endnote w:type="continuationSeparator" w:id="0">
    <w:p w:rsidR="003B6190" w:rsidRDefault="003B6190" w:rsidP="002C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erlin Sans FB">
    <w:altName w:val="Candara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IN">
    <w:altName w:val="DI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190" w:rsidRDefault="003B6190" w:rsidP="002C188E">
      <w:r>
        <w:separator/>
      </w:r>
    </w:p>
  </w:footnote>
  <w:footnote w:type="continuationSeparator" w:id="0">
    <w:p w:rsidR="003B6190" w:rsidRDefault="003B6190" w:rsidP="002C188E">
      <w:r>
        <w:continuationSeparator/>
      </w:r>
    </w:p>
  </w:footnote>
  <w:footnote w:id="1">
    <w:p w:rsidR="00BE2D3E" w:rsidRDefault="00BE2D3E" w:rsidP="00BE2D3E">
      <w:pPr>
        <w:pStyle w:val="Textonotapie"/>
      </w:pPr>
      <w:r>
        <w:rPr>
          <w:rStyle w:val="Refdenotaalpie"/>
        </w:rPr>
        <w:footnoteRef/>
      </w:r>
      <w:r>
        <w:t xml:space="preserve"> “El desarrollo y la próxima generación” Informe del Banco Mundial 2007. Pp. 7</w:t>
      </w:r>
    </w:p>
  </w:footnote>
  <w:footnote w:id="2">
    <w:p w:rsidR="00BE2D3E" w:rsidRDefault="00BE2D3E" w:rsidP="00BE2D3E">
      <w:pPr>
        <w:pStyle w:val="Textonotapie"/>
      </w:pPr>
      <w:r>
        <w:rPr>
          <w:rStyle w:val="Refdenotaalpie"/>
        </w:rPr>
        <w:footnoteRef/>
      </w:r>
      <w:r>
        <w:t xml:space="preserve"> “El desarrollo y la próxima generación” Informe del Banco Mundial 2007. Pp. 14</w:t>
      </w:r>
    </w:p>
    <w:p w:rsidR="00BE2D3E" w:rsidRDefault="00BE2D3E" w:rsidP="00BE2D3E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922E7"/>
    <w:multiLevelType w:val="hybridMultilevel"/>
    <w:tmpl w:val="39F273C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D52BBF"/>
    <w:multiLevelType w:val="hybridMultilevel"/>
    <w:tmpl w:val="DC1012AA"/>
    <w:lvl w:ilvl="0" w:tplc="E8AC8C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6533181"/>
    <w:multiLevelType w:val="hybridMultilevel"/>
    <w:tmpl w:val="B812F9B6"/>
    <w:lvl w:ilvl="0" w:tplc="0BF6270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0B3F"/>
    <w:multiLevelType w:val="hybridMultilevel"/>
    <w:tmpl w:val="B9EE5D20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22B343E"/>
    <w:multiLevelType w:val="hybridMultilevel"/>
    <w:tmpl w:val="5838D5A6"/>
    <w:lvl w:ilvl="0" w:tplc="651EC8A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B49"/>
    <w:rsid w:val="000E6686"/>
    <w:rsid w:val="0014526A"/>
    <w:rsid w:val="002C188E"/>
    <w:rsid w:val="002C4989"/>
    <w:rsid w:val="002E5D98"/>
    <w:rsid w:val="0031381F"/>
    <w:rsid w:val="003B6190"/>
    <w:rsid w:val="003C3D69"/>
    <w:rsid w:val="003E0B7A"/>
    <w:rsid w:val="00411AEC"/>
    <w:rsid w:val="004354E3"/>
    <w:rsid w:val="004C353C"/>
    <w:rsid w:val="005541A4"/>
    <w:rsid w:val="00584AC6"/>
    <w:rsid w:val="005B4887"/>
    <w:rsid w:val="006D66D9"/>
    <w:rsid w:val="006E7107"/>
    <w:rsid w:val="007409F9"/>
    <w:rsid w:val="007B480E"/>
    <w:rsid w:val="00804EBC"/>
    <w:rsid w:val="00884371"/>
    <w:rsid w:val="008961A3"/>
    <w:rsid w:val="009D3443"/>
    <w:rsid w:val="009E0048"/>
    <w:rsid w:val="00A0107B"/>
    <w:rsid w:val="00A76B3D"/>
    <w:rsid w:val="00AE4A37"/>
    <w:rsid w:val="00AE5E0A"/>
    <w:rsid w:val="00BA01F3"/>
    <w:rsid w:val="00BE03C7"/>
    <w:rsid w:val="00BE2D3E"/>
    <w:rsid w:val="00C13875"/>
    <w:rsid w:val="00C36D86"/>
    <w:rsid w:val="00C466A4"/>
    <w:rsid w:val="00CA3CE2"/>
    <w:rsid w:val="00CD39A9"/>
    <w:rsid w:val="00D7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B49"/>
    <w:pPr>
      <w:spacing w:after="0" w:line="240" w:lineRule="auto"/>
    </w:pPr>
    <w:rPr>
      <w:rFonts w:ascii="Arial Narrow" w:eastAsia="Calibri" w:hAnsi="Arial Narrow" w:cs="Times New Roman"/>
      <w:sz w:val="24"/>
      <w:szCs w:val="24"/>
      <w:lang w:val="es-MX" w:eastAsia="es-ES"/>
    </w:rPr>
  </w:style>
  <w:style w:type="paragraph" w:styleId="Ttulo3">
    <w:name w:val="heading 3"/>
    <w:basedOn w:val="Normal"/>
    <w:next w:val="Normal"/>
    <w:link w:val="Ttulo3Car"/>
    <w:qFormat/>
    <w:rsid w:val="005B4887"/>
    <w:pPr>
      <w:keepNext/>
      <w:outlineLvl w:val="2"/>
    </w:pPr>
    <w:rPr>
      <w:rFonts w:ascii="Berlin Sans FB" w:hAnsi="Berlin Sans FB"/>
      <w:b/>
      <w:bCs/>
      <w:iCs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D75B49"/>
    <w:pPr>
      <w:ind w:left="720"/>
    </w:pPr>
    <w:rPr>
      <w:rFonts w:ascii="Times New Roman" w:hAnsi="Times New Roman"/>
      <w:lang w:val="es-ES"/>
    </w:rPr>
  </w:style>
  <w:style w:type="paragraph" w:styleId="Textocomentario">
    <w:name w:val="annotation text"/>
    <w:basedOn w:val="Normal"/>
    <w:link w:val="TextocomentarioCar"/>
    <w:semiHidden/>
    <w:rsid w:val="00D75B4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D75B49"/>
    <w:rPr>
      <w:rFonts w:ascii="Arial Unicode MS" w:eastAsia="Arial Unicode MS" w:hAnsi="Arial Unicode MS" w:cs="Arial Unicode MS"/>
      <w:sz w:val="24"/>
      <w:szCs w:val="24"/>
      <w:lang w:eastAsia="es-ES"/>
    </w:rPr>
  </w:style>
  <w:style w:type="character" w:styleId="Refdecomentario">
    <w:name w:val="annotation reference"/>
    <w:basedOn w:val="Fuentedeprrafopredeter"/>
    <w:semiHidden/>
    <w:rsid w:val="00D75B49"/>
    <w:rPr>
      <w:rFonts w:cs="Times New Roman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5B4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5B49"/>
    <w:rPr>
      <w:rFonts w:ascii="Tahoma" w:eastAsia="Calibri" w:hAnsi="Tahoma" w:cs="Tahoma"/>
      <w:sz w:val="16"/>
      <w:szCs w:val="16"/>
      <w:lang w:val="es-MX" w:eastAsia="es-ES"/>
    </w:rPr>
  </w:style>
  <w:style w:type="paragraph" w:styleId="Textonotapie">
    <w:name w:val="footnote text"/>
    <w:aliases w:val="Car Car Car"/>
    <w:basedOn w:val="Normal"/>
    <w:link w:val="TextonotapieCar"/>
    <w:semiHidden/>
    <w:rsid w:val="002C188E"/>
    <w:rPr>
      <w:sz w:val="20"/>
      <w:szCs w:val="20"/>
    </w:rPr>
  </w:style>
  <w:style w:type="character" w:customStyle="1" w:styleId="TextonotapieCar">
    <w:name w:val="Texto nota pie Car"/>
    <w:aliases w:val="Car Car Car Car"/>
    <w:basedOn w:val="Fuentedeprrafopredeter"/>
    <w:link w:val="Textonotapie"/>
    <w:semiHidden/>
    <w:rsid w:val="002C188E"/>
    <w:rPr>
      <w:rFonts w:ascii="Arial Narrow" w:eastAsia="Calibri" w:hAnsi="Arial Narrow" w:cs="Times New Roman"/>
      <w:sz w:val="20"/>
      <w:szCs w:val="20"/>
      <w:lang w:val="es-MX" w:eastAsia="es-ES"/>
    </w:rPr>
  </w:style>
  <w:style w:type="character" w:styleId="Refdenotaalpie">
    <w:name w:val="footnote reference"/>
    <w:basedOn w:val="Fuentedeprrafopredeter"/>
    <w:semiHidden/>
    <w:rsid w:val="002C188E"/>
    <w:rPr>
      <w:rFonts w:cs="Times New Roman"/>
      <w:vertAlign w:val="superscript"/>
    </w:rPr>
  </w:style>
  <w:style w:type="character" w:styleId="Hipervnculo">
    <w:name w:val="Hyperlink"/>
    <w:basedOn w:val="Fuentedeprrafopredeter"/>
    <w:rsid w:val="002C188E"/>
    <w:rPr>
      <w:rFonts w:cs="Times New Roman"/>
      <w:color w:val="0000FF"/>
      <w:u w:val="single"/>
    </w:rPr>
  </w:style>
  <w:style w:type="paragraph" w:customStyle="1" w:styleId="Estilo">
    <w:name w:val="Estilo"/>
    <w:rsid w:val="00896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es-ES_tradnl" w:eastAsia="es-ES_tradnl"/>
    </w:rPr>
  </w:style>
  <w:style w:type="paragraph" w:customStyle="1" w:styleId="Prrafodelista2">
    <w:name w:val="Párrafo de lista2"/>
    <w:basedOn w:val="Normal"/>
    <w:rsid w:val="004C353C"/>
    <w:pPr>
      <w:ind w:left="720"/>
    </w:pPr>
    <w:rPr>
      <w:rFonts w:ascii="Times New Roman" w:hAnsi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locked/>
    <w:rsid w:val="003E0B7A"/>
    <w:rPr>
      <w:rFonts w:ascii="Berlin Sans FB" w:eastAsia="Calibri" w:hAnsi="Berlin Sans FB"/>
      <w:b/>
      <w:bCs/>
      <w:iCs/>
      <w:sz w:val="24"/>
      <w:lang w:val="es-MX" w:eastAsia="es-ES"/>
    </w:rPr>
  </w:style>
  <w:style w:type="paragraph" w:styleId="Textoindependiente">
    <w:name w:val="Body Text"/>
    <w:basedOn w:val="Normal"/>
    <w:link w:val="TextoindependienteCar"/>
    <w:rsid w:val="003E0B7A"/>
    <w:pPr>
      <w:jc w:val="both"/>
    </w:pPr>
    <w:rPr>
      <w:rFonts w:ascii="Berlin Sans FB" w:hAnsi="Berlin Sans FB" w:cstheme="minorBidi"/>
      <w:b/>
      <w:bCs/>
      <w:iCs/>
      <w:szCs w:val="22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3E0B7A"/>
    <w:rPr>
      <w:rFonts w:ascii="Arial Narrow" w:eastAsia="Calibri" w:hAnsi="Arial Narrow" w:cs="Times New Roman"/>
      <w:sz w:val="24"/>
      <w:szCs w:val="24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5B4887"/>
    <w:rPr>
      <w:rFonts w:ascii="Berlin Sans FB" w:eastAsia="Calibri" w:hAnsi="Berlin Sans FB" w:cs="Times New Roman"/>
      <w:b/>
      <w:bCs/>
      <w:iCs/>
      <w:sz w:val="24"/>
      <w:lang w:val="es-MX" w:eastAsia="es-ES"/>
    </w:rPr>
  </w:style>
  <w:style w:type="paragraph" w:customStyle="1" w:styleId="Prrafodelista20">
    <w:name w:val="Párrafo de lista2"/>
    <w:basedOn w:val="Normal"/>
    <w:rsid w:val="007B480E"/>
    <w:pPr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xtocontenido">
    <w:name w:val="texto_contenido"/>
    <w:basedOn w:val="Normal"/>
    <w:rsid w:val="002C498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/>
    </w:rPr>
  </w:style>
  <w:style w:type="paragraph" w:customStyle="1" w:styleId="textobase">
    <w:name w:val="textobase"/>
    <w:basedOn w:val="Normal"/>
    <w:rsid w:val="002C4989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iCs/>
      <w:color w:val="000000"/>
      <w:sz w:val="18"/>
      <w:szCs w:val="18"/>
      <w:lang w:val="es-ES"/>
    </w:rPr>
  </w:style>
  <w:style w:type="paragraph" w:styleId="NormalWeb">
    <w:name w:val="Normal (Web)"/>
    <w:basedOn w:val="Normal"/>
    <w:rsid w:val="00884371"/>
    <w:pPr>
      <w:spacing w:before="100" w:beforeAutospacing="1" w:after="100" w:afterAutospacing="1" w:line="312" w:lineRule="auto"/>
    </w:pPr>
    <w:rPr>
      <w:rFonts w:ascii="Times New Roman" w:hAnsi="Times New Roman"/>
      <w:lang w:val="en-US" w:eastAsia="en-US"/>
    </w:rPr>
  </w:style>
  <w:style w:type="paragraph" w:customStyle="1" w:styleId="estilo33">
    <w:name w:val="estilo33"/>
    <w:basedOn w:val="Normal"/>
    <w:rsid w:val="00A76B3D"/>
    <w:pPr>
      <w:spacing w:before="100" w:beforeAutospacing="1" w:after="100" w:afterAutospacing="1"/>
      <w:ind w:right="75"/>
    </w:pPr>
    <w:rPr>
      <w:rFonts w:ascii="Arial" w:hAnsi="Arial" w:cs="Arial"/>
      <w:sz w:val="18"/>
      <w:szCs w:val="18"/>
      <w:lang w:eastAsia="es-MX"/>
    </w:rPr>
  </w:style>
  <w:style w:type="character" w:styleId="nfasis">
    <w:name w:val="Emphasis"/>
    <w:basedOn w:val="Fuentedeprrafopredeter"/>
    <w:qFormat/>
    <w:rsid w:val="00A76B3D"/>
    <w:rPr>
      <w:rFonts w:cs="Times New Roman"/>
      <w:i/>
      <w:iCs/>
    </w:rPr>
  </w:style>
  <w:style w:type="paragraph" w:customStyle="1" w:styleId="texto">
    <w:name w:val="texto"/>
    <w:basedOn w:val="Normal"/>
    <w:rsid w:val="000E6686"/>
    <w:pPr>
      <w:spacing w:before="100" w:beforeAutospacing="1" w:after="100" w:afterAutospacing="1"/>
    </w:pPr>
    <w:rPr>
      <w:rFonts w:ascii="Verdana" w:hAnsi="Verdana"/>
      <w:sz w:val="11"/>
      <w:szCs w:val="11"/>
      <w:lang w:eastAsia="es-MX"/>
    </w:rPr>
  </w:style>
  <w:style w:type="character" w:styleId="Textoennegrita">
    <w:name w:val="Strong"/>
    <w:basedOn w:val="Fuentedeprrafopredeter"/>
    <w:qFormat/>
    <w:rsid w:val="000E6686"/>
    <w:rPr>
      <w:rFonts w:cs="Times New Roman"/>
      <w:b/>
      <w:bCs/>
    </w:rPr>
  </w:style>
  <w:style w:type="character" w:customStyle="1" w:styleId="vtexto1">
    <w:name w:val="vtexto1"/>
    <w:basedOn w:val="Fuentedeprrafopredeter"/>
    <w:rsid w:val="000E6686"/>
    <w:rPr>
      <w:rFonts w:ascii="Verdana" w:hAnsi="Verdana" w:cs="Times New Roman"/>
      <w:color w:val="666666"/>
      <w:sz w:val="11"/>
      <w:szCs w:val="11"/>
      <w:u w:val="none"/>
      <w:effect w:val="none"/>
    </w:rPr>
  </w:style>
  <w:style w:type="paragraph" w:customStyle="1" w:styleId="Default">
    <w:name w:val="Default"/>
    <w:rsid w:val="004354E3"/>
    <w:pPr>
      <w:autoSpaceDE w:val="0"/>
      <w:autoSpaceDN w:val="0"/>
      <w:adjustRightInd w:val="0"/>
      <w:spacing w:after="0" w:line="240" w:lineRule="auto"/>
    </w:pPr>
    <w:rPr>
      <w:rFonts w:ascii="DIN" w:eastAsia="Times New Roman" w:hAnsi="DIN" w:cs="DIN"/>
      <w:color w:val="000000"/>
      <w:sz w:val="24"/>
      <w:szCs w:val="24"/>
      <w:lang w:val="es-MX"/>
    </w:rPr>
  </w:style>
  <w:style w:type="paragraph" w:customStyle="1" w:styleId="Pa0">
    <w:name w:val="Pa0"/>
    <w:basedOn w:val="Default"/>
    <w:next w:val="Default"/>
    <w:rsid w:val="004354E3"/>
    <w:pPr>
      <w:spacing w:line="241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B49"/>
    <w:pPr>
      <w:spacing w:after="0" w:line="240" w:lineRule="auto"/>
    </w:pPr>
    <w:rPr>
      <w:rFonts w:ascii="Arial Narrow" w:eastAsia="Calibri" w:hAnsi="Arial Narrow" w:cs="Times New Roman"/>
      <w:sz w:val="24"/>
      <w:szCs w:val="24"/>
      <w:lang w:val="es-MX" w:eastAsia="es-ES"/>
    </w:rPr>
  </w:style>
  <w:style w:type="paragraph" w:styleId="Ttulo3">
    <w:name w:val="heading 3"/>
    <w:basedOn w:val="Normal"/>
    <w:next w:val="Normal"/>
    <w:link w:val="Ttulo3Car"/>
    <w:qFormat/>
    <w:rsid w:val="005B4887"/>
    <w:pPr>
      <w:keepNext/>
      <w:outlineLvl w:val="2"/>
    </w:pPr>
    <w:rPr>
      <w:rFonts w:ascii="Berlin Sans FB" w:hAnsi="Berlin Sans FB"/>
      <w:b/>
      <w:bCs/>
      <w:iCs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D75B49"/>
    <w:pPr>
      <w:ind w:left="720"/>
    </w:pPr>
    <w:rPr>
      <w:rFonts w:ascii="Times New Roman" w:hAnsi="Times New Roman"/>
      <w:lang w:val="es-ES"/>
    </w:rPr>
  </w:style>
  <w:style w:type="paragraph" w:styleId="Textocomentario">
    <w:name w:val="annotation text"/>
    <w:basedOn w:val="Normal"/>
    <w:link w:val="TextocomentarioCar"/>
    <w:semiHidden/>
    <w:rsid w:val="00D75B4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D75B49"/>
    <w:rPr>
      <w:rFonts w:ascii="Arial Unicode MS" w:eastAsia="Arial Unicode MS" w:hAnsi="Arial Unicode MS" w:cs="Arial Unicode MS"/>
      <w:sz w:val="24"/>
      <w:szCs w:val="24"/>
      <w:lang w:eastAsia="es-ES"/>
    </w:rPr>
  </w:style>
  <w:style w:type="character" w:styleId="Refdecomentario">
    <w:name w:val="annotation reference"/>
    <w:basedOn w:val="Fuentedeprrafopredeter"/>
    <w:semiHidden/>
    <w:rsid w:val="00D75B49"/>
    <w:rPr>
      <w:rFonts w:cs="Times New Roman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5B4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5B49"/>
    <w:rPr>
      <w:rFonts w:ascii="Tahoma" w:eastAsia="Calibri" w:hAnsi="Tahoma" w:cs="Tahoma"/>
      <w:sz w:val="16"/>
      <w:szCs w:val="16"/>
      <w:lang w:val="es-MX" w:eastAsia="es-ES"/>
    </w:rPr>
  </w:style>
  <w:style w:type="paragraph" w:styleId="Textonotapie">
    <w:name w:val="footnote text"/>
    <w:aliases w:val="Car Car Car"/>
    <w:basedOn w:val="Normal"/>
    <w:link w:val="TextonotapieCar"/>
    <w:semiHidden/>
    <w:rsid w:val="002C188E"/>
    <w:rPr>
      <w:sz w:val="20"/>
      <w:szCs w:val="20"/>
    </w:rPr>
  </w:style>
  <w:style w:type="character" w:customStyle="1" w:styleId="TextonotapieCar">
    <w:name w:val="Texto nota pie Car"/>
    <w:aliases w:val="Car Car Car Car"/>
    <w:basedOn w:val="Fuentedeprrafopredeter"/>
    <w:link w:val="Textonotapie"/>
    <w:semiHidden/>
    <w:rsid w:val="002C188E"/>
    <w:rPr>
      <w:rFonts w:ascii="Arial Narrow" w:eastAsia="Calibri" w:hAnsi="Arial Narrow" w:cs="Times New Roman"/>
      <w:sz w:val="20"/>
      <w:szCs w:val="20"/>
      <w:lang w:val="es-MX" w:eastAsia="es-ES"/>
    </w:rPr>
  </w:style>
  <w:style w:type="character" w:styleId="Refdenotaalpie">
    <w:name w:val="footnote reference"/>
    <w:basedOn w:val="Fuentedeprrafopredeter"/>
    <w:semiHidden/>
    <w:rsid w:val="002C188E"/>
    <w:rPr>
      <w:rFonts w:cs="Times New Roman"/>
      <w:vertAlign w:val="superscript"/>
    </w:rPr>
  </w:style>
  <w:style w:type="character" w:styleId="Hipervnculo">
    <w:name w:val="Hyperlink"/>
    <w:basedOn w:val="Fuentedeprrafopredeter"/>
    <w:rsid w:val="002C188E"/>
    <w:rPr>
      <w:rFonts w:cs="Times New Roman"/>
      <w:color w:val="0000FF"/>
      <w:u w:val="single"/>
    </w:rPr>
  </w:style>
  <w:style w:type="paragraph" w:customStyle="1" w:styleId="Estilo">
    <w:name w:val="Estilo"/>
    <w:rsid w:val="00896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es-ES_tradnl" w:eastAsia="es-ES_tradnl"/>
    </w:rPr>
  </w:style>
  <w:style w:type="paragraph" w:customStyle="1" w:styleId="Prrafodelista2">
    <w:name w:val="Párrafo de lista2"/>
    <w:basedOn w:val="Normal"/>
    <w:rsid w:val="004C353C"/>
    <w:pPr>
      <w:ind w:left="720"/>
    </w:pPr>
    <w:rPr>
      <w:rFonts w:ascii="Times New Roman" w:hAnsi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locked/>
    <w:rsid w:val="003E0B7A"/>
    <w:rPr>
      <w:rFonts w:ascii="Berlin Sans FB" w:eastAsia="Calibri" w:hAnsi="Berlin Sans FB"/>
      <w:b/>
      <w:bCs/>
      <w:iCs/>
      <w:sz w:val="24"/>
      <w:lang w:val="es-MX" w:eastAsia="es-ES"/>
    </w:rPr>
  </w:style>
  <w:style w:type="paragraph" w:styleId="Textoindependiente">
    <w:name w:val="Body Text"/>
    <w:basedOn w:val="Normal"/>
    <w:link w:val="TextoindependienteCar"/>
    <w:rsid w:val="003E0B7A"/>
    <w:pPr>
      <w:jc w:val="both"/>
    </w:pPr>
    <w:rPr>
      <w:rFonts w:ascii="Berlin Sans FB" w:hAnsi="Berlin Sans FB" w:cstheme="minorBidi"/>
      <w:b/>
      <w:bCs/>
      <w:iCs/>
      <w:szCs w:val="22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3E0B7A"/>
    <w:rPr>
      <w:rFonts w:ascii="Arial Narrow" w:eastAsia="Calibri" w:hAnsi="Arial Narrow" w:cs="Times New Roman"/>
      <w:sz w:val="24"/>
      <w:szCs w:val="24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5B4887"/>
    <w:rPr>
      <w:rFonts w:ascii="Berlin Sans FB" w:eastAsia="Calibri" w:hAnsi="Berlin Sans FB" w:cs="Times New Roman"/>
      <w:b/>
      <w:bCs/>
      <w:iCs/>
      <w:sz w:val="24"/>
      <w:lang w:val="es-MX" w:eastAsia="es-ES"/>
    </w:rPr>
  </w:style>
  <w:style w:type="paragraph" w:customStyle="1" w:styleId="Prrafodelista20">
    <w:name w:val="Párrafo de lista2"/>
    <w:basedOn w:val="Normal"/>
    <w:rsid w:val="007B480E"/>
    <w:pPr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xtocontenido">
    <w:name w:val="texto_contenido"/>
    <w:basedOn w:val="Normal"/>
    <w:rsid w:val="002C498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/>
    </w:rPr>
  </w:style>
  <w:style w:type="paragraph" w:customStyle="1" w:styleId="textobase">
    <w:name w:val="textobase"/>
    <w:basedOn w:val="Normal"/>
    <w:rsid w:val="002C4989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iCs/>
      <w:color w:val="000000"/>
      <w:sz w:val="18"/>
      <w:szCs w:val="18"/>
      <w:lang w:val="es-ES"/>
    </w:rPr>
  </w:style>
  <w:style w:type="paragraph" w:styleId="NormalWeb">
    <w:name w:val="Normal (Web)"/>
    <w:basedOn w:val="Normal"/>
    <w:rsid w:val="00884371"/>
    <w:pPr>
      <w:spacing w:before="100" w:beforeAutospacing="1" w:after="100" w:afterAutospacing="1" w:line="312" w:lineRule="auto"/>
    </w:pPr>
    <w:rPr>
      <w:rFonts w:ascii="Times New Roman" w:hAnsi="Times New Roman"/>
      <w:lang w:val="en-US" w:eastAsia="en-US"/>
    </w:rPr>
  </w:style>
  <w:style w:type="paragraph" w:customStyle="1" w:styleId="estilo33">
    <w:name w:val="estilo33"/>
    <w:basedOn w:val="Normal"/>
    <w:rsid w:val="00A76B3D"/>
    <w:pPr>
      <w:spacing w:before="100" w:beforeAutospacing="1" w:after="100" w:afterAutospacing="1"/>
      <w:ind w:right="75"/>
    </w:pPr>
    <w:rPr>
      <w:rFonts w:ascii="Arial" w:hAnsi="Arial" w:cs="Arial"/>
      <w:sz w:val="18"/>
      <w:szCs w:val="18"/>
      <w:lang w:eastAsia="es-MX"/>
    </w:rPr>
  </w:style>
  <w:style w:type="character" w:styleId="nfasis">
    <w:name w:val="Emphasis"/>
    <w:basedOn w:val="Fuentedeprrafopredeter"/>
    <w:qFormat/>
    <w:rsid w:val="00A76B3D"/>
    <w:rPr>
      <w:rFonts w:cs="Times New Roman"/>
      <w:i/>
      <w:iCs/>
    </w:rPr>
  </w:style>
  <w:style w:type="paragraph" w:customStyle="1" w:styleId="texto">
    <w:name w:val="texto"/>
    <w:basedOn w:val="Normal"/>
    <w:rsid w:val="000E6686"/>
    <w:pPr>
      <w:spacing w:before="100" w:beforeAutospacing="1" w:after="100" w:afterAutospacing="1"/>
    </w:pPr>
    <w:rPr>
      <w:rFonts w:ascii="Verdana" w:hAnsi="Verdana"/>
      <w:sz w:val="11"/>
      <w:szCs w:val="11"/>
      <w:lang w:eastAsia="es-MX"/>
    </w:rPr>
  </w:style>
  <w:style w:type="character" w:styleId="Textoennegrita">
    <w:name w:val="Strong"/>
    <w:basedOn w:val="Fuentedeprrafopredeter"/>
    <w:qFormat/>
    <w:rsid w:val="000E6686"/>
    <w:rPr>
      <w:rFonts w:cs="Times New Roman"/>
      <w:b/>
      <w:bCs/>
    </w:rPr>
  </w:style>
  <w:style w:type="character" w:customStyle="1" w:styleId="vtexto1">
    <w:name w:val="vtexto1"/>
    <w:basedOn w:val="Fuentedeprrafopredeter"/>
    <w:rsid w:val="000E6686"/>
    <w:rPr>
      <w:rFonts w:ascii="Verdana" w:hAnsi="Verdana" w:cs="Times New Roman"/>
      <w:color w:val="666666"/>
      <w:sz w:val="11"/>
      <w:szCs w:val="11"/>
      <w:u w:val="none"/>
      <w:effect w:val="none"/>
    </w:rPr>
  </w:style>
  <w:style w:type="paragraph" w:customStyle="1" w:styleId="Default">
    <w:name w:val="Default"/>
    <w:rsid w:val="004354E3"/>
    <w:pPr>
      <w:autoSpaceDE w:val="0"/>
      <w:autoSpaceDN w:val="0"/>
      <w:adjustRightInd w:val="0"/>
      <w:spacing w:after="0" w:line="240" w:lineRule="auto"/>
    </w:pPr>
    <w:rPr>
      <w:rFonts w:ascii="DIN" w:eastAsia="Times New Roman" w:hAnsi="DIN" w:cs="DIN"/>
      <w:color w:val="000000"/>
      <w:sz w:val="24"/>
      <w:szCs w:val="24"/>
      <w:lang w:val="es-MX"/>
    </w:rPr>
  </w:style>
  <w:style w:type="paragraph" w:customStyle="1" w:styleId="Pa0">
    <w:name w:val="Pa0"/>
    <w:basedOn w:val="Default"/>
    <w:next w:val="Default"/>
    <w:rsid w:val="004354E3"/>
    <w:pPr>
      <w:spacing w:line="241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2142</Words>
  <Characters>11785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13900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2010-06-30T16:56:00Z</dcterms:created>
  <dcterms:modified xsi:type="dcterms:W3CDTF">2010-06-30T16:56:00Z</dcterms:modified>
</cp:coreProperties>
</file>